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93" w:rsidRPr="00623693" w:rsidRDefault="00623693" w:rsidP="00623693">
      <w:pPr>
        <w:spacing w:line="348" w:lineRule="atLeast"/>
        <w:ind w:left="0"/>
        <w:jc w:val="both"/>
        <w:rPr>
          <w:rFonts w:ascii="Arial" w:eastAsia="Times New Roman" w:hAnsi="Arial" w:cs="Arial"/>
          <w:b/>
          <w:sz w:val="32"/>
          <w:szCs w:val="32"/>
          <w:lang w:eastAsia="cs-CZ"/>
        </w:rPr>
      </w:pPr>
      <w:r w:rsidRPr="00623693">
        <w:rPr>
          <w:rFonts w:ascii="Arial" w:eastAsia="Times New Roman" w:hAnsi="Arial" w:cs="Arial"/>
          <w:b/>
          <w:sz w:val="32"/>
          <w:szCs w:val="32"/>
          <w:lang w:eastAsia="cs-CZ"/>
        </w:rPr>
        <w:t xml:space="preserve">MA </w:t>
      </w:r>
      <w:r>
        <w:rPr>
          <w:rFonts w:ascii="Arial" w:eastAsia="Times New Roman" w:hAnsi="Arial" w:cs="Arial"/>
          <w:b/>
          <w:sz w:val="32"/>
          <w:szCs w:val="32"/>
          <w:lang w:eastAsia="cs-CZ"/>
        </w:rPr>
        <w:t xml:space="preserve">21 </w:t>
      </w:r>
      <w:r w:rsidRPr="00623693">
        <w:rPr>
          <w:rFonts w:ascii="Arial" w:eastAsia="Times New Roman" w:hAnsi="Arial" w:cs="Arial"/>
          <w:b/>
          <w:sz w:val="32"/>
          <w:szCs w:val="32"/>
          <w:lang w:eastAsia="cs-CZ"/>
        </w:rPr>
        <w:t>plnění kriterií</w:t>
      </w:r>
    </w:p>
    <w:p w:rsidR="00623693" w:rsidRDefault="00623693" w:rsidP="00623693">
      <w:pPr>
        <w:spacing w:line="348" w:lineRule="atLeast"/>
        <w:ind w:left="0"/>
        <w:jc w:val="both"/>
        <w:rPr>
          <w:rFonts w:ascii="Arial" w:eastAsia="Times New Roman" w:hAnsi="Arial" w:cs="Arial"/>
          <w:lang w:eastAsia="cs-CZ"/>
        </w:rPr>
      </w:pPr>
    </w:p>
    <w:p w:rsidR="00623693" w:rsidRPr="00623693" w:rsidRDefault="00623693" w:rsidP="00623693">
      <w:pPr>
        <w:spacing w:line="348" w:lineRule="atLeast"/>
        <w:ind w:left="0"/>
        <w:jc w:val="both"/>
        <w:rPr>
          <w:rFonts w:ascii="Arial" w:eastAsia="Times New Roman" w:hAnsi="Arial" w:cs="Arial"/>
          <w:lang w:eastAsia="cs-CZ"/>
        </w:rPr>
      </w:pPr>
      <w:r w:rsidRPr="00623693">
        <w:rPr>
          <w:rFonts w:ascii="Arial" w:eastAsia="Times New Roman" w:hAnsi="Arial" w:cs="Arial"/>
          <w:lang w:eastAsia="cs-CZ"/>
        </w:rPr>
        <w:t xml:space="preserve">V průběhu roku 2004 byla Pracovní skupinou pro místní Agendy 21 (PS MA21) při Radě vlády pro udržitelný rozvoj (RVUR) sestavena </w:t>
      </w:r>
      <w:r w:rsidRPr="00623693">
        <w:rPr>
          <w:rFonts w:ascii="Arial" w:eastAsia="Times New Roman" w:hAnsi="Arial" w:cs="Arial"/>
          <w:b/>
          <w:bCs/>
          <w:u w:val="single"/>
          <w:lang w:eastAsia="cs-CZ"/>
        </w:rPr>
        <w:t>sada Kritérií místní Agendy 21 (MA21)</w:t>
      </w:r>
      <w:r w:rsidRPr="00623693">
        <w:rPr>
          <w:rFonts w:ascii="Arial" w:eastAsia="Times New Roman" w:hAnsi="Arial" w:cs="Arial"/>
          <w:lang w:eastAsia="cs-CZ"/>
        </w:rPr>
        <w:t>. Jejím hlavním cílem je zajistit monitorování úrovně procesu MA21 v jednotlivých obcích, městech a regionech.</w:t>
      </w:r>
    </w:p>
    <w:p w:rsidR="00623693" w:rsidRPr="00623693" w:rsidRDefault="00623693" w:rsidP="00623693">
      <w:pPr>
        <w:spacing w:line="348" w:lineRule="atLeast"/>
        <w:ind w:left="0"/>
        <w:jc w:val="both"/>
        <w:rPr>
          <w:rFonts w:ascii="Arial" w:eastAsia="Times New Roman" w:hAnsi="Arial" w:cs="Arial"/>
          <w:lang w:eastAsia="cs-CZ"/>
        </w:rPr>
      </w:pPr>
      <w:r w:rsidRPr="00623693">
        <w:rPr>
          <w:rFonts w:ascii="Arial" w:eastAsia="Times New Roman" w:hAnsi="Arial" w:cs="Arial"/>
          <w:lang w:eastAsia="cs-CZ"/>
        </w:rPr>
        <w:t>Sada kritérií MA21 je členěna do čtyř základních kategorií „A“ (nejvyšší) – „D“ (nejnižší). Těmto kategoriím předchází ještě tzv. „nultá“ kategorie „Zájemci“.</w:t>
      </w:r>
      <w:r w:rsidRPr="00623693">
        <w:rPr>
          <w:rFonts w:ascii="Arial" w:eastAsia="Times New Roman" w:hAnsi="Arial" w:cs="Arial"/>
          <w:lang w:eastAsia="cs-CZ"/>
        </w:rPr>
        <w:br/>
        <w:t>Každá z kategorií má svá vlastní kritéria a jasně měřitelné ukazatele, které hodnotí úroveň realizace procesu MA21 v dané municipalitě. Předpokladem pro splnění celé kategorie je naplnění a zdokumentování všech v ní obsažených Kritérií MA21.</w:t>
      </w:r>
    </w:p>
    <w:p w:rsidR="00623693" w:rsidRPr="00623693" w:rsidRDefault="00623693" w:rsidP="00623693">
      <w:pPr>
        <w:spacing w:line="348" w:lineRule="atLeast"/>
        <w:ind w:left="0"/>
        <w:jc w:val="both"/>
        <w:rPr>
          <w:rFonts w:ascii="Arial" w:eastAsia="Times New Roman" w:hAnsi="Arial" w:cs="Arial"/>
          <w:lang w:eastAsia="cs-CZ"/>
        </w:rPr>
      </w:pPr>
      <w:r w:rsidRPr="00623693">
        <w:rPr>
          <w:rFonts w:ascii="Arial" w:eastAsia="Times New Roman" w:hAnsi="Arial" w:cs="Arial"/>
          <w:lang w:eastAsia="cs-CZ"/>
        </w:rPr>
        <w:t>K 1. lednu 2010 došlo k aktualizaci sady kritérií MA21 tak, aby lépe vyhovovaly rozdílným typům municipalit. Nejzávažnější změnou je rozdělení registrovaných subjektů do šesti skupin dle typu:</w:t>
      </w:r>
    </w:p>
    <w:p w:rsidR="00623693" w:rsidRPr="00623693" w:rsidRDefault="00623693" w:rsidP="00623693">
      <w:pPr>
        <w:numPr>
          <w:ilvl w:val="0"/>
          <w:numId w:val="1"/>
        </w:numPr>
        <w:spacing w:line="312" w:lineRule="atLeast"/>
        <w:ind w:left="0"/>
        <w:jc w:val="both"/>
        <w:rPr>
          <w:rFonts w:ascii="Arial" w:eastAsia="Times New Roman" w:hAnsi="Arial" w:cs="Arial"/>
          <w:lang w:eastAsia="cs-CZ"/>
        </w:rPr>
      </w:pPr>
      <w:r w:rsidRPr="00623693">
        <w:rPr>
          <w:rFonts w:ascii="Arial" w:eastAsia="Times New Roman" w:hAnsi="Arial" w:cs="Arial"/>
          <w:b/>
          <w:bCs/>
          <w:lang w:eastAsia="cs-CZ"/>
        </w:rPr>
        <w:t>MALÁ OBEC</w:t>
      </w:r>
      <w:r w:rsidRPr="00623693">
        <w:rPr>
          <w:rFonts w:ascii="Arial" w:eastAsia="Times New Roman" w:hAnsi="Arial" w:cs="Arial"/>
          <w:lang w:eastAsia="cs-CZ"/>
        </w:rPr>
        <w:t xml:space="preserve"> - Ve smyslu platných kritérií pro MA21 se jako malé obce mohou registrovat obce s počtem obyvatel do 2000. Obce s hraničním počtem obyvatel (těsně nad 2000) mohou své zařazení konzultovat se zástupci PS MA21.</w:t>
      </w:r>
    </w:p>
    <w:p w:rsidR="00623693" w:rsidRPr="00623693" w:rsidRDefault="00623693" w:rsidP="00623693">
      <w:pPr>
        <w:numPr>
          <w:ilvl w:val="0"/>
          <w:numId w:val="1"/>
        </w:numPr>
        <w:spacing w:line="312" w:lineRule="atLeast"/>
        <w:ind w:left="0"/>
        <w:jc w:val="both"/>
        <w:rPr>
          <w:rFonts w:ascii="Arial" w:eastAsia="Times New Roman" w:hAnsi="Arial" w:cs="Arial"/>
          <w:lang w:eastAsia="cs-CZ"/>
        </w:rPr>
      </w:pPr>
      <w:r w:rsidRPr="00623693">
        <w:rPr>
          <w:rFonts w:ascii="Arial" w:eastAsia="Times New Roman" w:hAnsi="Arial" w:cs="Arial"/>
          <w:b/>
          <w:bCs/>
          <w:lang w:eastAsia="cs-CZ"/>
        </w:rPr>
        <w:t>OBEC</w:t>
      </w:r>
      <w:r w:rsidRPr="00623693">
        <w:rPr>
          <w:rFonts w:ascii="Arial" w:eastAsia="Times New Roman" w:hAnsi="Arial" w:cs="Arial"/>
          <w:lang w:eastAsia="cs-CZ"/>
        </w:rPr>
        <w:t xml:space="preserve"> - Obec je základním územním samosprávným společenstvím občanů; tvoří územní celek, který je vymezen hranicí území obce (dle § 1 Zákona č. 128/2000 Sb. o obcích).</w:t>
      </w:r>
    </w:p>
    <w:p w:rsidR="00623693" w:rsidRPr="00623693" w:rsidRDefault="00623693" w:rsidP="00623693">
      <w:pPr>
        <w:numPr>
          <w:ilvl w:val="0"/>
          <w:numId w:val="1"/>
        </w:numPr>
        <w:spacing w:line="312" w:lineRule="atLeast"/>
        <w:ind w:left="0"/>
        <w:jc w:val="both"/>
        <w:rPr>
          <w:rFonts w:ascii="Arial" w:eastAsia="Times New Roman" w:hAnsi="Arial" w:cs="Arial"/>
          <w:lang w:eastAsia="cs-CZ"/>
        </w:rPr>
      </w:pPr>
      <w:r w:rsidRPr="00623693">
        <w:rPr>
          <w:rFonts w:ascii="Arial" w:eastAsia="Times New Roman" w:hAnsi="Arial" w:cs="Arial"/>
          <w:b/>
          <w:bCs/>
          <w:lang w:eastAsia="cs-CZ"/>
        </w:rPr>
        <w:t>STATUTÁRNÍ MĚSTO S MĚSTSKÝMI OBVODY NEBO MĚSTSKÝMI ČÁSTMI</w:t>
      </w:r>
      <w:r w:rsidRPr="00623693">
        <w:rPr>
          <w:rFonts w:ascii="Arial" w:eastAsia="Times New Roman" w:hAnsi="Arial" w:cs="Arial"/>
          <w:lang w:eastAsia="cs-CZ"/>
        </w:rPr>
        <w:t xml:space="preserve"> - Území statutárních měst se může členit na městské obvody nebo městské části s vlastními orgány samosprávy. (dle § 4 Zákona č. 128/2000 Sb. o </w:t>
      </w:r>
      <w:proofErr w:type="gramStart"/>
      <w:r w:rsidRPr="00623693">
        <w:rPr>
          <w:rFonts w:ascii="Arial" w:eastAsia="Times New Roman" w:hAnsi="Arial" w:cs="Arial"/>
          <w:lang w:eastAsia="cs-CZ"/>
        </w:rPr>
        <w:t>obcích).Tato</w:t>
      </w:r>
      <w:proofErr w:type="gramEnd"/>
      <w:r w:rsidRPr="00623693">
        <w:rPr>
          <w:rFonts w:ascii="Arial" w:eastAsia="Times New Roman" w:hAnsi="Arial" w:cs="Arial"/>
          <w:lang w:eastAsia="cs-CZ"/>
        </w:rPr>
        <w:t xml:space="preserve"> města se mohou registrovat jako celek (ve skupině Statutární město s městskými obvody) a současně </w:t>
      </w:r>
      <w:r w:rsidRPr="00623693">
        <w:rPr>
          <w:rFonts w:ascii="Arial" w:eastAsia="Times New Roman" w:hAnsi="Arial" w:cs="Arial"/>
          <w:u w:val="single"/>
          <w:lang w:eastAsia="cs-CZ"/>
        </w:rPr>
        <w:t>se do systému mohou samostatně registrovat i jejich městské části</w:t>
      </w:r>
      <w:r w:rsidRPr="00623693">
        <w:rPr>
          <w:rFonts w:ascii="Arial" w:eastAsia="Times New Roman" w:hAnsi="Arial" w:cs="Arial"/>
          <w:lang w:eastAsia="cs-CZ"/>
        </w:rPr>
        <w:t xml:space="preserve"> (ve skupině obce). </w:t>
      </w:r>
      <w:r w:rsidRPr="00623693">
        <w:rPr>
          <w:rFonts w:ascii="Arial" w:eastAsia="Times New Roman" w:hAnsi="Arial" w:cs="Arial"/>
          <w:u w:val="single"/>
          <w:lang w:eastAsia="cs-CZ"/>
        </w:rPr>
        <w:t>Hlavní město Praha</w:t>
      </w:r>
      <w:r w:rsidRPr="00623693">
        <w:rPr>
          <w:rFonts w:ascii="Arial" w:eastAsia="Times New Roman" w:hAnsi="Arial" w:cs="Arial"/>
          <w:lang w:eastAsia="cs-CZ"/>
        </w:rPr>
        <w:t xml:space="preserve"> a jeho městské části (ve smyslu zákona č. 131/2000 o hlavním městě Praze), se mohou rovněž registrovat ve stejném režimu jako statutární města. Ostatní statutární města, která nemají zřízené samostatné městské obvody, čí městské části, se mohou registrovat jako obce.</w:t>
      </w:r>
    </w:p>
    <w:p w:rsidR="00623693" w:rsidRPr="00623693" w:rsidRDefault="00623693" w:rsidP="00623693">
      <w:pPr>
        <w:numPr>
          <w:ilvl w:val="0"/>
          <w:numId w:val="1"/>
        </w:numPr>
        <w:spacing w:line="312" w:lineRule="atLeast"/>
        <w:ind w:left="0"/>
        <w:rPr>
          <w:rFonts w:ascii="Arial" w:eastAsia="Times New Roman" w:hAnsi="Arial" w:cs="Arial"/>
          <w:lang w:eastAsia="cs-CZ"/>
        </w:rPr>
      </w:pPr>
      <w:r w:rsidRPr="00623693">
        <w:rPr>
          <w:rFonts w:ascii="Arial" w:eastAsia="Times New Roman" w:hAnsi="Arial" w:cs="Arial"/>
          <w:b/>
          <w:bCs/>
          <w:lang w:eastAsia="cs-CZ"/>
        </w:rPr>
        <w:t>MIKROREGION</w:t>
      </w:r>
      <w:r w:rsidRPr="00623693">
        <w:rPr>
          <w:rFonts w:ascii="Arial" w:eastAsia="Times New Roman" w:hAnsi="Arial" w:cs="Arial"/>
          <w:lang w:eastAsia="cs-CZ"/>
        </w:rPr>
        <w:t xml:space="preserve"> - Sdružení několika obcí za účelem dosažení společného cíle. Typickým rysem takového svazku je vznik z vlastní iniciativy, nikoliv příkazem nadřízeného orgánu nebo ze zákona.</w:t>
      </w:r>
    </w:p>
    <w:p w:rsidR="00623693" w:rsidRPr="00623693" w:rsidRDefault="00623693" w:rsidP="00623693">
      <w:pPr>
        <w:numPr>
          <w:ilvl w:val="0"/>
          <w:numId w:val="1"/>
        </w:numPr>
        <w:spacing w:line="312" w:lineRule="atLeast"/>
        <w:ind w:left="0"/>
        <w:rPr>
          <w:rFonts w:ascii="Arial" w:eastAsia="Times New Roman" w:hAnsi="Arial" w:cs="Arial"/>
          <w:lang w:eastAsia="cs-CZ"/>
        </w:rPr>
      </w:pPr>
      <w:r w:rsidRPr="00623693">
        <w:rPr>
          <w:rFonts w:ascii="Arial" w:eastAsia="Times New Roman" w:hAnsi="Arial" w:cs="Arial"/>
          <w:b/>
          <w:bCs/>
          <w:lang w:eastAsia="cs-CZ"/>
        </w:rPr>
        <w:t>KRAJ</w:t>
      </w:r>
      <w:r w:rsidRPr="00623693">
        <w:rPr>
          <w:rFonts w:ascii="Arial" w:eastAsia="Times New Roman" w:hAnsi="Arial" w:cs="Arial"/>
          <w:lang w:eastAsia="cs-CZ"/>
        </w:rPr>
        <w:t xml:space="preserve"> - Vyšší územní samosprávné celky (územní společenství občanů, veřejnoprávní korporace), které ustanovuje ústavní zákon č. 347/1997 Sb., o vytvoření vyšších územních samosprávných celků.</w:t>
      </w:r>
    </w:p>
    <w:p w:rsidR="00623693" w:rsidRPr="00623693" w:rsidRDefault="00623693" w:rsidP="00623693">
      <w:pPr>
        <w:numPr>
          <w:ilvl w:val="0"/>
          <w:numId w:val="1"/>
        </w:numPr>
        <w:spacing w:line="312" w:lineRule="atLeast"/>
        <w:ind w:left="0"/>
        <w:rPr>
          <w:rFonts w:ascii="Arial" w:eastAsia="Times New Roman" w:hAnsi="Arial" w:cs="Arial"/>
          <w:lang w:eastAsia="cs-CZ"/>
        </w:rPr>
      </w:pPr>
      <w:r w:rsidRPr="00623693">
        <w:rPr>
          <w:rFonts w:ascii="Arial" w:eastAsia="Times New Roman" w:hAnsi="Arial" w:cs="Arial"/>
          <w:b/>
          <w:bCs/>
          <w:lang w:eastAsia="cs-CZ"/>
        </w:rPr>
        <w:t>OSTATNÍ</w:t>
      </w:r>
      <w:r w:rsidRPr="00623693">
        <w:rPr>
          <w:rFonts w:ascii="Arial" w:eastAsia="Times New Roman" w:hAnsi="Arial" w:cs="Arial"/>
          <w:lang w:eastAsia="cs-CZ"/>
        </w:rPr>
        <w:t xml:space="preserve"> - Spřátelené organizace, soukromé, nevládní, neziskové organizace a firmy, které chtějí být registrované v databázi MA21. Tyto organizace zůstávají v MA21 zařazeni pouze v kategorii "Zájemci".</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b/>
          <w:bCs/>
          <w:lang w:eastAsia="cs-CZ"/>
        </w:rPr>
        <w:t>Databáze MA21 – Webové prostředí pro plnění a aktualizaci Kritérií MA21</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t>Databáze MA 21 byla vytvořena s cílem poskytnout municipalitám jednoduchý nástroj pro prezentaci jimi naplňované úrovně procesu MA21 dle oficiálně stanovených podmínek v sadě Kritérií místní Agendy 21 (MA21).</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lastRenderedPageBreak/>
        <w:t xml:space="preserve">Databázi MA21 z pověření </w:t>
      </w:r>
      <w:hyperlink r:id="rId5" w:history="1">
        <w:r w:rsidRPr="00623693">
          <w:rPr>
            <w:rFonts w:ascii="Arial" w:eastAsia="Times New Roman" w:hAnsi="Arial" w:cs="Arial"/>
            <w:u w:val="single"/>
            <w:lang w:eastAsia="cs-CZ"/>
          </w:rPr>
          <w:t>Ministerstva životního prostředí</w:t>
        </w:r>
      </w:hyperlink>
      <w:r w:rsidRPr="00623693">
        <w:rPr>
          <w:rFonts w:ascii="Arial" w:eastAsia="Times New Roman" w:hAnsi="Arial" w:cs="Arial"/>
          <w:lang w:eastAsia="cs-CZ"/>
        </w:rPr>
        <w:t xml:space="preserve"> provozuje</w:t>
      </w:r>
      <w:hyperlink r:id="rId6" w:history="1">
        <w:r w:rsidRPr="00623693">
          <w:rPr>
            <w:rFonts w:ascii="Arial" w:eastAsia="Times New Roman" w:hAnsi="Arial" w:cs="Arial"/>
            <w:u w:val="single"/>
            <w:lang w:eastAsia="cs-CZ"/>
          </w:rPr>
          <w:t xml:space="preserve"> CENIA, česká informační agentura životního prostředí,</w:t>
        </w:r>
      </w:hyperlink>
      <w:r w:rsidRPr="00623693">
        <w:rPr>
          <w:rFonts w:ascii="Arial" w:eastAsia="Times New Roman" w:hAnsi="Arial" w:cs="Arial"/>
          <w:lang w:eastAsia="cs-CZ"/>
        </w:rPr>
        <w:t xml:space="preserve"> se sídlem Praha 10, Litevská 8, Praha 10, která je příspěvkovou organizací MŽP.</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t>Cílem Databáze MA21 je poskytnout municipalitám jednoduchý nástroj pro prezentaci jimi naplňované úrovně procesu MA21 dle oficiálně stanovených podmínek. CENIA, česká informační agentura životního prostředí, jako správce databáze zajišťuje odbornou kontrolu informací, které jsou do Databáze MA21 plněny a zároveň poskytuje municipalitám při plnění asistenční pomoc.</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b/>
          <w:bCs/>
          <w:lang w:eastAsia="cs-CZ"/>
        </w:rPr>
        <w:t>Význam kritérií MA21</w:t>
      </w:r>
    </w:p>
    <w:p w:rsidR="00623693" w:rsidRPr="00623693" w:rsidRDefault="00623693" w:rsidP="00623693">
      <w:pPr>
        <w:numPr>
          <w:ilvl w:val="0"/>
          <w:numId w:val="2"/>
        </w:numPr>
        <w:spacing w:line="312" w:lineRule="atLeast"/>
        <w:ind w:left="0"/>
        <w:rPr>
          <w:rFonts w:ascii="Arial" w:eastAsia="Times New Roman" w:hAnsi="Arial" w:cs="Arial"/>
          <w:lang w:eastAsia="cs-CZ"/>
        </w:rPr>
      </w:pPr>
      <w:r w:rsidRPr="00623693">
        <w:rPr>
          <w:rFonts w:ascii="Arial" w:eastAsia="Times New Roman" w:hAnsi="Arial" w:cs="Arial"/>
          <w:lang w:eastAsia="cs-CZ"/>
        </w:rPr>
        <w:t>města, obce i regiony budou moci dle jasně definovaných parametrů prokázat, že v praxi uplatňují MA21 a na jaké úrovni MA21 se nacházejí,</w:t>
      </w:r>
    </w:p>
    <w:p w:rsidR="00623693" w:rsidRPr="00623693" w:rsidRDefault="00623693" w:rsidP="00623693">
      <w:pPr>
        <w:numPr>
          <w:ilvl w:val="0"/>
          <w:numId w:val="2"/>
        </w:numPr>
        <w:spacing w:line="312" w:lineRule="atLeast"/>
        <w:ind w:left="0"/>
        <w:rPr>
          <w:rFonts w:ascii="Arial" w:eastAsia="Times New Roman" w:hAnsi="Arial" w:cs="Arial"/>
          <w:lang w:eastAsia="cs-CZ"/>
        </w:rPr>
      </w:pPr>
      <w:r w:rsidRPr="00623693">
        <w:rPr>
          <w:rFonts w:ascii="Arial" w:eastAsia="Times New Roman" w:hAnsi="Arial" w:cs="Arial"/>
          <w:lang w:eastAsia="cs-CZ"/>
        </w:rPr>
        <w:t>sledování stavu procesu MA21 pomocí Kritérií MA21 může být využíváno jako podpůrný prostředek pro žádosti o granty EU a o podporu z vybraných dotačních titulů jednotlivých resortů či krajů (aktivní MA21 budou mít do budoucna větší šanci na tyto zdroje a dotace dosáhnout). </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t> </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t> </w:t>
      </w:r>
    </w:p>
    <w:p w:rsidR="00623693" w:rsidRPr="00623693" w:rsidRDefault="00623693" w:rsidP="00623693">
      <w:pPr>
        <w:spacing w:line="348" w:lineRule="atLeast"/>
        <w:ind w:left="0"/>
        <w:rPr>
          <w:rFonts w:ascii="Arial" w:eastAsia="Times New Roman" w:hAnsi="Arial" w:cs="Arial"/>
          <w:lang w:eastAsia="cs-CZ"/>
        </w:rPr>
      </w:pPr>
      <w:r w:rsidRPr="00623693">
        <w:rPr>
          <w:rFonts w:ascii="Arial" w:eastAsia="Times New Roman" w:hAnsi="Arial" w:cs="Arial"/>
          <w:lang w:eastAsia="cs-CZ"/>
        </w:rPr>
        <w:t xml:space="preserve">(převzato z portálu </w:t>
      </w:r>
      <w:hyperlink r:id="rId7" w:history="1">
        <w:r w:rsidRPr="00623693">
          <w:rPr>
            <w:rFonts w:ascii="Arial" w:eastAsia="Times New Roman" w:hAnsi="Arial" w:cs="Arial"/>
            <w:u w:val="single"/>
            <w:lang w:eastAsia="cs-CZ"/>
          </w:rPr>
          <w:t>www.ma21.cz</w:t>
        </w:r>
      </w:hyperlink>
      <w:r w:rsidRPr="00623693">
        <w:rPr>
          <w:rFonts w:ascii="Arial" w:eastAsia="Times New Roman" w:hAnsi="Arial" w:cs="Arial"/>
          <w:lang w:eastAsia="cs-CZ"/>
        </w:rPr>
        <w:t>)</w:t>
      </w:r>
    </w:p>
    <w:p w:rsidR="00623693" w:rsidRPr="00623693" w:rsidRDefault="00623693" w:rsidP="00623693">
      <w:pPr>
        <w:spacing w:line="348" w:lineRule="atLeast"/>
        <w:ind w:left="0"/>
        <w:jc w:val="both"/>
        <w:rPr>
          <w:rFonts w:ascii="Arial" w:eastAsia="Times New Roman" w:hAnsi="Arial" w:cs="Arial"/>
          <w:lang w:eastAsia="cs-CZ"/>
        </w:rPr>
      </w:pPr>
      <w:r w:rsidRPr="00623693">
        <w:rPr>
          <w:rFonts w:ascii="Arial" w:eastAsia="Times New Roman" w:hAnsi="Arial" w:cs="Arial"/>
          <w:lang w:eastAsia="cs-CZ"/>
        </w:rPr>
        <w:t> </w:t>
      </w:r>
    </w:p>
    <w:p w:rsidR="00D04C81" w:rsidRPr="00623693" w:rsidRDefault="00623693"/>
    <w:sectPr w:rsidR="00D04C81" w:rsidRPr="00623693" w:rsidSect="00B27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E92"/>
    <w:multiLevelType w:val="multilevel"/>
    <w:tmpl w:val="905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7207F"/>
    <w:multiLevelType w:val="multilevel"/>
    <w:tmpl w:val="A61E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693"/>
    <w:rsid w:val="00172927"/>
    <w:rsid w:val="00623693"/>
    <w:rsid w:val="007944ED"/>
    <w:rsid w:val="00B273C7"/>
    <w:rsid w:val="00D57B59"/>
    <w:rsid w:val="00E87A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3C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justify">
    <w:name w:val="rtejustify"/>
    <w:basedOn w:val="Normln"/>
    <w:rsid w:val="00623693"/>
    <w:pPr>
      <w:spacing w:before="100" w:beforeAutospacing="1" w:after="100" w:afterAutospacing="1"/>
      <w:ind w:left="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3693"/>
    <w:rPr>
      <w:b/>
      <w:bCs/>
    </w:rPr>
  </w:style>
  <w:style w:type="paragraph" w:styleId="Normlnweb">
    <w:name w:val="Normal (Web)"/>
    <w:basedOn w:val="Normln"/>
    <w:uiPriority w:val="99"/>
    <w:semiHidden/>
    <w:unhideWhenUsed/>
    <w:rsid w:val="00623693"/>
    <w:pPr>
      <w:spacing w:before="100" w:beforeAutospacing="1" w:after="100" w:afterAutospacing="1"/>
      <w:ind w:left="0"/>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23693"/>
    <w:rPr>
      <w:color w:val="0000FF"/>
      <w:u w:val="single"/>
    </w:rPr>
  </w:style>
</w:styles>
</file>

<file path=word/webSettings.xml><?xml version="1.0" encoding="utf-8"?>
<w:webSettings xmlns:r="http://schemas.openxmlformats.org/officeDocument/2006/relationships" xmlns:w="http://schemas.openxmlformats.org/wordprocessingml/2006/main">
  <w:divs>
    <w:div w:id="191303375">
      <w:bodyDiv w:val="1"/>
      <w:marLeft w:val="0"/>
      <w:marRight w:val="0"/>
      <w:marTop w:val="0"/>
      <w:marBottom w:val="0"/>
      <w:divBdr>
        <w:top w:val="none" w:sz="0" w:space="0" w:color="auto"/>
        <w:left w:val="none" w:sz="0" w:space="0" w:color="auto"/>
        <w:bottom w:val="none" w:sz="0" w:space="0" w:color="auto"/>
        <w:right w:val="none" w:sz="0" w:space="0" w:color="auto"/>
      </w:divBdr>
    </w:div>
    <w:div w:id="790976116">
      <w:bodyDiv w:val="1"/>
      <w:marLeft w:val="0"/>
      <w:marRight w:val="0"/>
      <w:marTop w:val="0"/>
      <w:marBottom w:val="0"/>
      <w:divBdr>
        <w:top w:val="none" w:sz="0" w:space="0" w:color="auto"/>
        <w:left w:val="none" w:sz="0" w:space="0" w:color="auto"/>
        <w:bottom w:val="none" w:sz="0" w:space="0" w:color="auto"/>
        <w:right w:val="none" w:sz="0" w:space="0" w:color="auto"/>
      </w:divBdr>
      <w:divsChild>
        <w:div w:id="406928876">
          <w:marLeft w:val="0"/>
          <w:marRight w:val="0"/>
          <w:marTop w:val="0"/>
          <w:marBottom w:val="0"/>
          <w:divBdr>
            <w:top w:val="none" w:sz="0" w:space="0" w:color="auto"/>
            <w:left w:val="none" w:sz="0" w:space="0" w:color="auto"/>
            <w:bottom w:val="none" w:sz="0" w:space="0" w:color="auto"/>
            <w:right w:val="none" w:sz="0" w:space="0" w:color="auto"/>
          </w:divBdr>
          <w:divsChild>
            <w:div w:id="1959407310">
              <w:marLeft w:val="0"/>
              <w:marRight w:val="0"/>
              <w:marTop w:val="0"/>
              <w:marBottom w:val="75"/>
              <w:divBdr>
                <w:top w:val="none" w:sz="0" w:space="0" w:color="auto"/>
                <w:left w:val="none" w:sz="0" w:space="0" w:color="auto"/>
                <w:bottom w:val="none" w:sz="0" w:space="0" w:color="auto"/>
                <w:right w:val="none" w:sz="0" w:space="0" w:color="auto"/>
              </w:divBdr>
              <w:divsChild>
                <w:div w:id="1690528141">
                  <w:marLeft w:val="0"/>
                  <w:marRight w:val="0"/>
                  <w:marTop w:val="0"/>
                  <w:marBottom w:val="0"/>
                  <w:divBdr>
                    <w:top w:val="none" w:sz="0" w:space="0" w:color="auto"/>
                    <w:left w:val="none" w:sz="0" w:space="0" w:color="auto"/>
                    <w:bottom w:val="none" w:sz="0" w:space="0" w:color="auto"/>
                    <w:right w:val="none" w:sz="0" w:space="0" w:color="auto"/>
                  </w:divBdr>
                  <w:divsChild>
                    <w:div w:id="1093670933">
                      <w:marLeft w:val="0"/>
                      <w:marRight w:val="0"/>
                      <w:marTop w:val="0"/>
                      <w:marBottom w:val="0"/>
                      <w:divBdr>
                        <w:top w:val="none" w:sz="0" w:space="0" w:color="auto"/>
                        <w:left w:val="none" w:sz="0" w:space="0" w:color="auto"/>
                        <w:bottom w:val="none" w:sz="0" w:space="0" w:color="auto"/>
                        <w:right w:val="none" w:sz="0" w:space="0" w:color="auto"/>
                      </w:divBdr>
                      <w:divsChild>
                        <w:div w:id="195965370">
                          <w:marLeft w:val="0"/>
                          <w:marRight w:val="0"/>
                          <w:marTop w:val="0"/>
                          <w:marBottom w:val="0"/>
                          <w:divBdr>
                            <w:top w:val="none" w:sz="0" w:space="0" w:color="auto"/>
                            <w:left w:val="none" w:sz="0" w:space="0" w:color="auto"/>
                            <w:bottom w:val="none" w:sz="0" w:space="0" w:color="auto"/>
                            <w:right w:val="none" w:sz="0" w:space="0" w:color="auto"/>
                          </w:divBdr>
                          <w:divsChild>
                            <w:div w:id="2019967888">
                              <w:marLeft w:val="0"/>
                              <w:marRight w:val="0"/>
                              <w:marTop w:val="0"/>
                              <w:marBottom w:val="0"/>
                              <w:divBdr>
                                <w:top w:val="none" w:sz="0" w:space="0" w:color="auto"/>
                                <w:left w:val="none" w:sz="0" w:space="0" w:color="auto"/>
                                <w:bottom w:val="none" w:sz="0" w:space="0" w:color="auto"/>
                                <w:right w:val="none" w:sz="0" w:space="0" w:color="auto"/>
                              </w:divBdr>
                              <w:divsChild>
                                <w:div w:id="1149785761">
                                  <w:marLeft w:val="0"/>
                                  <w:marRight w:val="0"/>
                                  <w:marTop w:val="0"/>
                                  <w:marBottom w:val="0"/>
                                  <w:divBdr>
                                    <w:top w:val="none" w:sz="0" w:space="0" w:color="auto"/>
                                    <w:left w:val="none" w:sz="0" w:space="0" w:color="auto"/>
                                    <w:bottom w:val="none" w:sz="0" w:space="0" w:color="auto"/>
                                    <w:right w:val="none" w:sz="0" w:space="0" w:color="auto"/>
                                  </w:divBdr>
                                  <w:divsChild>
                                    <w:div w:id="2001999562">
                                      <w:marLeft w:val="0"/>
                                      <w:marRight w:val="0"/>
                                      <w:marTop w:val="0"/>
                                      <w:marBottom w:val="0"/>
                                      <w:divBdr>
                                        <w:top w:val="none" w:sz="0" w:space="0" w:color="auto"/>
                                        <w:left w:val="none" w:sz="0" w:space="0" w:color="auto"/>
                                        <w:bottom w:val="none" w:sz="0" w:space="0" w:color="auto"/>
                                        <w:right w:val="none" w:sz="0" w:space="0" w:color="auto"/>
                                      </w:divBdr>
                                      <w:divsChild>
                                        <w:div w:id="823938810">
                                          <w:marLeft w:val="0"/>
                                          <w:marRight w:val="0"/>
                                          <w:marTop w:val="0"/>
                                          <w:marBottom w:val="0"/>
                                          <w:divBdr>
                                            <w:top w:val="none" w:sz="0" w:space="0" w:color="auto"/>
                                            <w:left w:val="none" w:sz="0" w:space="0" w:color="auto"/>
                                            <w:bottom w:val="none" w:sz="0" w:space="0" w:color="auto"/>
                                            <w:right w:val="none" w:sz="0" w:space="0" w:color="auto"/>
                                          </w:divBdr>
                                          <w:divsChild>
                                            <w:div w:id="1104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21.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ia.cz/" TargetMode="External"/><Relationship Id="rId5" Type="http://schemas.openxmlformats.org/officeDocument/2006/relationships/hyperlink" Target="http://www.mzp.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3398</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2020-03-15T20:50:00Z</dcterms:created>
  <dcterms:modified xsi:type="dcterms:W3CDTF">2020-03-15T20:52:00Z</dcterms:modified>
</cp:coreProperties>
</file>